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94E6F">
      <w:pPr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CAA1663">
      <w:pPr>
        <w:tabs>
          <w:tab w:val="left" w:pos="960"/>
        </w:tabs>
        <w:bidi w:val="0"/>
        <w:jc w:val="left"/>
        <w:rPr>
          <w:rFonts w:hint="default" w:ascii="Times New Roman Regular" w:hAnsi="Times New Roman Regular" w:cs="Times New Roman Regular"/>
          <w:lang w:val="en-US" w:eastAsia="zh-CN"/>
        </w:rPr>
      </w:pPr>
    </w:p>
    <w:p w14:paraId="36189C12">
      <w:pPr>
        <w:tabs>
          <w:tab w:val="left" w:pos="960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2025年广东药科大学职业技能等级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认定时间安排表</w:t>
      </w:r>
    </w:p>
    <w:p w14:paraId="3EB1A168">
      <w:pPr>
        <w:tabs>
          <w:tab w:val="left" w:pos="960"/>
        </w:tabs>
        <w:bidi w:val="0"/>
        <w:jc w:val="center"/>
        <w:rPr>
          <w:rFonts w:hint="default" w:ascii="Times New Roman Regular" w:hAnsi="Times New Roman Regular" w:cs="Times New Roman Regular"/>
          <w:lang w:val="en-US" w:eastAsia="zh-CN"/>
        </w:rPr>
      </w:pPr>
    </w:p>
    <w:tbl>
      <w:tblPr>
        <w:tblStyle w:val="4"/>
        <w:tblW w:w="9723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63"/>
        <w:gridCol w:w="2509"/>
        <w:gridCol w:w="2739"/>
        <w:gridCol w:w="2157"/>
      </w:tblGrid>
      <w:tr w14:paraId="2B7F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Align w:val="center"/>
          </w:tcPr>
          <w:p w14:paraId="53936E5D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sz w:val="24"/>
                <w:szCs w:val="24"/>
                <w:vertAlign w:val="baseline"/>
                <w:lang w:val="en-US" w:eastAsia="zh-CN"/>
              </w:rPr>
              <w:t>职业（工种）</w:t>
            </w:r>
          </w:p>
        </w:tc>
        <w:tc>
          <w:tcPr>
            <w:tcW w:w="763" w:type="dxa"/>
            <w:vAlign w:val="center"/>
          </w:tcPr>
          <w:p w14:paraId="17C4E217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2509" w:type="dxa"/>
            <w:vAlign w:val="center"/>
          </w:tcPr>
          <w:p w14:paraId="3684FFA3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sz w:val="24"/>
                <w:szCs w:val="24"/>
                <w:vertAlign w:val="baseline"/>
                <w:lang w:val="en-US" w:eastAsia="zh-CN"/>
              </w:rPr>
              <w:t>认定日期</w:t>
            </w:r>
          </w:p>
        </w:tc>
        <w:tc>
          <w:tcPr>
            <w:tcW w:w="2739" w:type="dxa"/>
            <w:vAlign w:val="center"/>
          </w:tcPr>
          <w:p w14:paraId="380BB050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sz w:val="24"/>
                <w:szCs w:val="24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2157" w:type="dxa"/>
            <w:vAlign w:val="center"/>
          </w:tcPr>
          <w:p w14:paraId="48667E42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sz w:val="24"/>
                <w:szCs w:val="24"/>
                <w:vertAlign w:val="baseline"/>
                <w:lang w:val="en-US" w:eastAsia="zh-CN"/>
              </w:rPr>
              <w:t>答题</w:t>
            </w:r>
            <w:r>
              <w:rPr>
                <w:rFonts w:hint="eastAsia" w:ascii="Times New Roman Regular" w:hAnsi="Times New Roman Regular" w:eastAsia="仿宋" w:cs="Times New Roman Regular"/>
                <w:b/>
                <w:bCs/>
                <w:sz w:val="24"/>
                <w:szCs w:val="24"/>
                <w:vertAlign w:val="baseline"/>
                <w:lang w:val="en-US" w:eastAsia="zh-CN"/>
              </w:rPr>
              <w:t>时间及</w:t>
            </w:r>
            <w:r>
              <w:rPr>
                <w:rFonts w:hint="default" w:ascii="Times New Roman Regular" w:hAnsi="Times New Roman Regular" w:eastAsia="仿宋" w:cs="Times New Roman Regular"/>
                <w:b/>
                <w:bCs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</w:tr>
      <w:tr w14:paraId="25AC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restart"/>
            <w:vAlign w:val="center"/>
          </w:tcPr>
          <w:p w14:paraId="2EDA81F8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公共营养师</w:t>
            </w:r>
          </w:p>
        </w:tc>
        <w:tc>
          <w:tcPr>
            <w:tcW w:w="763" w:type="dxa"/>
            <w:vMerge w:val="restart"/>
            <w:vAlign w:val="center"/>
          </w:tcPr>
          <w:p w14:paraId="415B2DFF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三级四级</w:t>
            </w:r>
          </w:p>
        </w:tc>
        <w:tc>
          <w:tcPr>
            <w:tcW w:w="2509" w:type="dxa"/>
            <w:vAlign w:val="center"/>
          </w:tcPr>
          <w:p w14:paraId="3622E363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3月15日—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739" w:type="dxa"/>
            <w:vAlign w:val="center"/>
          </w:tcPr>
          <w:p w14:paraId="53CFF0DD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12月22日—2月22日</w:t>
            </w:r>
          </w:p>
        </w:tc>
        <w:tc>
          <w:tcPr>
            <w:tcW w:w="2157" w:type="dxa"/>
            <w:vMerge w:val="restart"/>
            <w:vAlign w:val="center"/>
          </w:tcPr>
          <w:p w14:paraId="56B9B1D7">
            <w:pPr>
              <w:tabs>
                <w:tab w:val="left" w:pos="960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9:00-10:30</w:t>
            </w:r>
          </w:p>
          <w:p w14:paraId="3F8249B6">
            <w:pPr>
              <w:tabs>
                <w:tab w:val="left" w:pos="960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（理论知识）</w:t>
            </w:r>
          </w:p>
          <w:p w14:paraId="131BC22C">
            <w:pPr>
              <w:tabs>
                <w:tab w:val="left" w:pos="960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11:00-12:30</w:t>
            </w:r>
          </w:p>
          <w:p w14:paraId="4C246814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（专业技能）</w:t>
            </w:r>
          </w:p>
        </w:tc>
      </w:tr>
      <w:tr w14:paraId="51DE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vAlign w:val="center"/>
          </w:tcPr>
          <w:p w14:paraId="41C9FCEA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 w14:paraId="0D511F3B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 w14:paraId="563EABE0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日—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739" w:type="dxa"/>
            <w:vAlign w:val="center"/>
          </w:tcPr>
          <w:p w14:paraId="13A647C9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2月27日—4月27日</w:t>
            </w:r>
          </w:p>
        </w:tc>
        <w:tc>
          <w:tcPr>
            <w:tcW w:w="2157" w:type="dxa"/>
            <w:vMerge w:val="continue"/>
          </w:tcPr>
          <w:p w14:paraId="6A6C4618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2A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vAlign w:val="center"/>
          </w:tcPr>
          <w:p w14:paraId="6E4F7599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 w14:paraId="7F6C4ACB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 w14:paraId="082B8E6E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9月13日—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739" w:type="dxa"/>
            <w:vAlign w:val="center"/>
          </w:tcPr>
          <w:p w14:paraId="3164354A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6月24日—8月24日</w:t>
            </w:r>
          </w:p>
        </w:tc>
        <w:tc>
          <w:tcPr>
            <w:tcW w:w="2157" w:type="dxa"/>
            <w:vMerge w:val="continue"/>
          </w:tcPr>
          <w:p w14:paraId="0CEE3405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57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vAlign w:val="center"/>
          </w:tcPr>
          <w:p w14:paraId="5257776E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 w14:paraId="3A8608BB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 w14:paraId="4BDF1CDB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11月15日—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739" w:type="dxa"/>
            <w:vAlign w:val="center"/>
          </w:tcPr>
          <w:p w14:paraId="7D198622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8月26日—10月26日</w:t>
            </w:r>
          </w:p>
        </w:tc>
        <w:tc>
          <w:tcPr>
            <w:tcW w:w="2157" w:type="dxa"/>
            <w:vMerge w:val="continue"/>
          </w:tcPr>
          <w:p w14:paraId="44F8722D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DE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restart"/>
            <w:vAlign w:val="center"/>
          </w:tcPr>
          <w:p w14:paraId="6045CB70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健康管理师</w:t>
            </w:r>
          </w:p>
        </w:tc>
        <w:tc>
          <w:tcPr>
            <w:tcW w:w="763" w:type="dxa"/>
            <w:vMerge w:val="restart"/>
            <w:vAlign w:val="center"/>
          </w:tcPr>
          <w:p w14:paraId="7CAB0BD9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509" w:type="dxa"/>
            <w:vAlign w:val="center"/>
          </w:tcPr>
          <w:p w14:paraId="274A9C6A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3月15日—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739" w:type="dxa"/>
            <w:vAlign w:val="center"/>
          </w:tcPr>
          <w:p w14:paraId="7D13F73D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12月22日—2月22日</w:t>
            </w:r>
          </w:p>
        </w:tc>
        <w:tc>
          <w:tcPr>
            <w:tcW w:w="2157" w:type="dxa"/>
            <w:vMerge w:val="restart"/>
            <w:vAlign w:val="center"/>
          </w:tcPr>
          <w:p w14:paraId="10D6895C">
            <w:pPr>
              <w:tabs>
                <w:tab w:val="left" w:pos="960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9:00-10:30</w:t>
            </w:r>
          </w:p>
          <w:p w14:paraId="7DE17E85">
            <w:pPr>
              <w:tabs>
                <w:tab w:val="left" w:pos="960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（理论知识）</w:t>
            </w:r>
          </w:p>
          <w:p w14:paraId="3CEEBAE5">
            <w:pPr>
              <w:tabs>
                <w:tab w:val="left" w:pos="960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11:00-12:30</w:t>
            </w:r>
          </w:p>
          <w:p w14:paraId="023FA933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（专业技能）</w:t>
            </w:r>
          </w:p>
        </w:tc>
      </w:tr>
      <w:tr w14:paraId="0012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vAlign w:val="top"/>
          </w:tcPr>
          <w:p w14:paraId="0EF22A9C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 w14:paraId="21FFF88C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 w14:paraId="35A79507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日—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739" w:type="dxa"/>
            <w:vAlign w:val="center"/>
          </w:tcPr>
          <w:p w14:paraId="67B1C833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2月27日—4月27日</w:t>
            </w:r>
          </w:p>
        </w:tc>
        <w:tc>
          <w:tcPr>
            <w:tcW w:w="2157" w:type="dxa"/>
            <w:vMerge w:val="continue"/>
          </w:tcPr>
          <w:p w14:paraId="47A8B7D4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5F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vAlign w:val="top"/>
          </w:tcPr>
          <w:p w14:paraId="23F0B9D9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 w14:paraId="528303C4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 w14:paraId="4F2B68D8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9月13日—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739" w:type="dxa"/>
            <w:vAlign w:val="center"/>
          </w:tcPr>
          <w:p w14:paraId="0B7B1105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6月24日—8月24日</w:t>
            </w:r>
          </w:p>
        </w:tc>
        <w:tc>
          <w:tcPr>
            <w:tcW w:w="2157" w:type="dxa"/>
            <w:vMerge w:val="continue"/>
          </w:tcPr>
          <w:p w14:paraId="4C389B77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C4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vAlign w:val="top"/>
          </w:tcPr>
          <w:p w14:paraId="3AB107D1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 w14:paraId="56A24C4B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 w14:paraId="2815730B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11月15日—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739" w:type="dxa"/>
            <w:vAlign w:val="center"/>
          </w:tcPr>
          <w:p w14:paraId="4E9E736B">
            <w:pPr>
              <w:tabs>
                <w:tab w:val="left" w:pos="960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8月26日—10月26日</w:t>
            </w:r>
          </w:p>
        </w:tc>
        <w:tc>
          <w:tcPr>
            <w:tcW w:w="2157" w:type="dxa"/>
            <w:vMerge w:val="continue"/>
          </w:tcPr>
          <w:p w14:paraId="7FDDE393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0A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Align w:val="center"/>
          </w:tcPr>
          <w:p w14:paraId="6E03F190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社群健康助理员</w:t>
            </w:r>
          </w:p>
        </w:tc>
        <w:tc>
          <w:tcPr>
            <w:tcW w:w="763" w:type="dxa"/>
            <w:vMerge w:val="restart"/>
            <w:vAlign w:val="center"/>
          </w:tcPr>
          <w:p w14:paraId="330A5E77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三级四级</w:t>
            </w:r>
          </w:p>
        </w:tc>
        <w:tc>
          <w:tcPr>
            <w:tcW w:w="2509" w:type="dxa"/>
            <w:vMerge w:val="restart"/>
            <w:vAlign w:val="center"/>
          </w:tcPr>
          <w:p w14:paraId="11FC7DA9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每月第3周，</w:t>
            </w: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具体</w:t>
            </w: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考试时间由认定机构通知</w:t>
            </w:r>
          </w:p>
        </w:tc>
        <w:tc>
          <w:tcPr>
            <w:tcW w:w="2739" w:type="dxa"/>
            <w:vMerge w:val="restart"/>
            <w:vAlign w:val="center"/>
          </w:tcPr>
          <w:p w14:paraId="06FA5FBC">
            <w:pPr>
              <w:bidi w:val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报名截止时间</w:t>
            </w: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 w14:paraId="310305BC">
            <w:pPr>
              <w:bidi w:val="0"/>
              <w:jc w:val="center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考前20个工作日</w:t>
            </w:r>
          </w:p>
        </w:tc>
        <w:tc>
          <w:tcPr>
            <w:tcW w:w="2157" w:type="dxa"/>
            <w:vMerge w:val="restart"/>
            <w:vAlign w:val="center"/>
          </w:tcPr>
          <w:p w14:paraId="3A1D8348">
            <w:pPr>
              <w:bidi w:val="0"/>
              <w:jc w:val="center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机考+专业技能</w:t>
            </w:r>
          </w:p>
        </w:tc>
      </w:tr>
      <w:tr w14:paraId="00DF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Align w:val="center"/>
          </w:tcPr>
          <w:p w14:paraId="31EEB33D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健康照护师</w:t>
            </w:r>
          </w:p>
        </w:tc>
        <w:tc>
          <w:tcPr>
            <w:tcW w:w="763" w:type="dxa"/>
            <w:vMerge w:val="continue"/>
            <w:vAlign w:val="top"/>
          </w:tcPr>
          <w:p w14:paraId="27DF7C8E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Merge w:val="continue"/>
            <w:vAlign w:val="top"/>
          </w:tcPr>
          <w:p w14:paraId="4CF0FB24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9" w:type="dxa"/>
            <w:vMerge w:val="continue"/>
            <w:vAlign w:val="top"/>
          </w:tcPr>
          <w:p w14:paraId="61E21E86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</w:tcPr>
          <w:p w14:paraId="46EAAB86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9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Align w:val="center"/>
          </w:tcPr>
          <w:p w14:paraId="4DB8451B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食品农产品检验员</w:t>
            </w:r>
          </w:p>
        </w:tc>
        <w:tc>
          <w:tcPr>
            <w:tcW w:w="763" w:type="dxa"/>
            <w:vMerge w:val="continue"/>
            <w:vAlign w:val="top"/>
          </w:tcPr>
          <w:p w14:paraId="326198E7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Merge w:val="continue"/>
            <w:vAlign w:val="top"/>
          </w:tcPr>
          <w:p w14:paraId="5C26702D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9" w:type="dxa"/>
            <w:vMerge w:val="continue"/>
            <w:vAlign w:val="top"/>
          </w:tcPr>
          <w:p w14:paraId="155D7ED9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</w:tcPr>
          <w:p w14:paraId="21D5F16A">
            <w:pPr>
              <w:tabs>
                <w:tab w:val="left" w:pos="960"/>
              </w:tabs>
              <w:bidi w:val="0"/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E7D56FE"/>
    <w:sectPr>
      <w:footerReference r:id="rId3" w:type="default"/>
      <w:pgSz w:w="11906" w:h="16838"/>
      <w:pgMar w:top="1440" w:right="136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920932-910E-4646-8A26-B1B287E0DBEA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2" w:fontKey="{ECD824BF-81C1-4A46-B3C2-4AE06FCD1DC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A1D6024-B670-4D47-9EAE-B08471F5B6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87F1839-C338-43E7-B447-469319BEE3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F3F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400B5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400B5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B3AAD"/>
    <w:rsid w:val="1DDB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2024-12-11T04:03:00Z</dcterms:created>
  <dc:creator>继教院专用</dc:creator>
  <cp:lastModifiedBy>继教院专用</cp:lastModifiedBy>
  <dcterms:modified xsi:type="dcterms:W3CDTF">2024-12-11T04:04:19Z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4CB50FC82B234731BA0BEE0489E5DE6A_11</vt:lpwstr>
  </property>
</Properties>
</file>